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77" w:rsidRPr="00BD3777" w:rsidRDefault="00BD3777" w:rsidP="00BD3777">
      <w:pPr>
        <w:pStyle w:val="a4"/>
        <w:spacing w:before="0" w:beforeAutospacing="0" w:after="0" w:afterAutospacing="0"/>
        <w:rPr>
          <w:rFonts w:ascii="Inter" w:hAnsi="Inter"/>
        </w:rPr>
      </w:pPr>
      <w:r w:rsidRPr="00BD3777">
        <w:rPr>
          <w:rStyle w:val="a5"/>
          <w:rFonts w:ascii="Inter" w:hAnsi="Inter"/>
        </w:rPr>
        <w:t>ЗАЯВКА НА ФИНАНСИРОВАНИЕ ГУМАНИТАРНОГО ПРОЕКТА</w:t>
      </w:r>
    </w:p>
    <w:p w:rsidR="00BD3777" w:rsidRDefault="00BD3777"/>
    <w:tbl>
      <w:tblPr>
        <w:tblStyle w:val="a3"/>
        <w:tblW w:w="0" w:type="auto"/>
        <w:tblLook w:val="04A0"/>
      </w:tblPr>
      <w:tblGrid>
        <w:gridCol w:w="814"/>
        <w:gridCol w:w="2555"/>
        <w:gridCol w:w="6485"/>
      </w:tblGrid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1.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Наименование проекта</w:t>
            </w:r>
          </w:p>
        </w:tc>
        <w:tc>
          <w:tcPr>
            <w:tcW w:w="6485" w:type="dxa"/>
          </w:tcPr>
          <w:p w:rsidR="00BD3777" w:rsidRPr="00AE2F54" w:rsidRDefault="00AE2F54">
            <w:pPr>
              <w:rPr>
                <w:color w:val="222222"/>
                <w:sz w:val="26"/>
                <w:szCs w:val="26"/>
              </w:rPr>
            </w:pPr>
            <w:r w:rsidRPr="00AE2F54">
              <w:rPr>
                <w:color w:val="222222"/>
                <w:sz w:val="26"/>
                <w:szCs w:val="26"/>
              </w:rPr>
              <w:t>Формирование имиджа города среди лиц, совершающих стоповер, через создание проекта «#ВкусГорода» (на примере города Витебска)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2.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Срок реализации проекта</w:t>
            </w:r>
          </w:p>
        </w:tc>
        <w:tc>
          <w:tcPr>
            <w:tcW w:w="6485" w:type="dxa"/>
          </w:tcPr>
          <w:p w:rsidR="00BD3777" w:rsidRPr="00BD3777" w:rsidRDefault="00AE2F54" w:rsidP="00AE2F54">
            <w:pPr>
              <w:rPr>
                <w:sz w:val="26"/>
                <w:szCs w:val="26"/>
              </w:rPr>
            </w:pPr>
            <w:r w:rsidRPr="00AE2F54">
              <w:rPr>
                <w:color w:val="222222"/>
                <w:sz w:val="26"/>
                <w:szCs w:val="26"/>
              </w:rPr>
              <w:t>Сентябрь 2023 года – май 2025 года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3.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Организация-заявитель, предлагающая проект</w:t>
            </w:r>
          </w:p>
        </w:tc>
        <w:tc>
          <w:tcPr>
            <w:tcW w:w="648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 xml:space="preserve">Государственное учреждение образования «Средняя школа №11 г. Витебска </w:t>
            </w:r>
            <w:r>
              <w:rPr>
                <w:color w:val="222222"/>
                <w:sz w:val="26"/>
                <w:szCs w:val="26"/>
              </w:rPr>
              <w:t xml:space="preserve">имени </w:t>
            </w:r>
            <w:r w:rsidRPr="00BD3777">
              <w:rPr>
                <w:color w:val="222222"/>
                <w:sz w:val="26"/>
                <w:szCs w:val="26"/>
              </w:rPr>
              <w:t>М.М.Бахтина»</w:t>
            </w:r>
            <w:r>
              <w:rPr>
                <w:color w:val="222222"/>
                <w:sz w:val="26"/>
                <w:szCs w:val="26"/>
              </w:rPr>
              <w:t xml:space="preserve">, </w:t>
            </w:r>
            <w:r w:rsidRPr="00BD3777">
              <w:rPr>
                <w:color w:val="222222"/>
                <w:sz w:val="26"/>
                <w:szCs w:val="26"/>
              </w:rPr>
              <w:t>Республика Беларусь, Витебская область, г</w:t>
            </w:r>
            <w:proofErr w:type="gramStart"/>
            <w:r>
              <w:rPr>
                <w:color w:val="222222"/>
                <w:sz w:val="26"/>
                <w:szCs w:val="26"/>
              </w:rPr>
              <w:t>.</w:t>
            </w:r>
            <w:r w:rsidRPr="00BD3777">
              <w:rPr>
                <w:color w:val="222222"/>
                <w:sz w:val="26"/>
                <w:szCs w:val="26"/>
              </w:rPr>
              <w:t>В</w:t>
            </w:r>
            <w:proofErr w:type="gramEnd"/>
            <w:r w:rsidRPr="00BD3777">
              <w:rPr>
                <w:color w:val="222222"/>
                <w:sz w:val="26"/>
                <w:szCs w:val="26"/>
              </w:rPr>
              <w:t>итебск, проспект Московский, 28а, 210015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4.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Цель проекта</w:t>
            </w:r>
          </w:p>
        </w:tc>
        <w:tc>
          <w:tcPr>
            <w:tcW w:w="6485" w:type="dxa"/>
          </w:tcPr>
          <w:p w:rsidR="00BD3777" w:rsidRPr="00AE2F54" w:rsidRDefault="00AE2F54">
            <w:pPr>
              <w:rPr>
                <w:color w:val="222222"/>
                <w:sz w:val="26"/>
                <w:szCs w:val="26"/>
              </w:rPr>
            </w:pPr>
            <w:r w:rsidRPr="00AE2F54">
              <w:rPr>
                <w:color w:val="222222"/>
                <w:sz w:val="26"/>
                <w:szCs w:val="26"/>
              </w:rPr>
              <w:t>Разработать и внедрить процесс и содержание формирования имиджа города среди лиц, совершающих стоповер, через создание проекта «#ВкусГорода» (на примере города Витебска)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5.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Задачи, планируемые к выполнению в рамках реализации проекта</w:t>
            </w:r>
          </w:p>
        </w:tc>
        <w:tc>
          <w:tcPr>
            <w:tcW w:w="6485" w:type="dxa"/>
          </w:tcPr>
          <w:p w:rsidR="00AE2F54" w:rsidRPr="00AE2F54" w:rsidRDefault="00356741" w:rsidP="00356741">
            <w:pPr>
              <w:pStyle w:val="a6"/>
              <w:tabs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1) </w:t>
            </w:r>
            <w:r w:rsidR="00AE2F54" w:rsidRPr="00AE2F5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раскрыть сущность понятия «стоповер», а также выявить возможности и особенности создания среди лиц, его совершающих, проекта «#ВкусГорода» как элемента формирования имиджа города Витебска в современных условиях;</w:t>
            </w:r>
          </w:p>
          <w:p w:rsidR="00BD3777" w:rsidRPr="00AE2F54" w:rsidRDefault="00356741" w:rsidP="00356741">
            <w:pPr>
              <w:pStyle w:val="a6"/>
              <w:tabs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2) </w:t>
            </w:r>
            <w:r w:rsidR="00AE2F54" w:rsidRPr="00AE2F5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изучить, проанализировать и задействовать возможности использования вне </w:t>
            </w:r>
            <w:proofErr w:type="gramStart"/>
            <w:r w:rsidR="00AE2F54" w:rsidRPr="00AE2F5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интернет-пространства</w:t>
            </w:r>
            <w:proofErr w:type="gramEnd"/>
            <w:r w:rsidR="00AE2F54" w:rsidRPr="00AE2F5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и интернет-пространства как средства создания проекта «#ВкусГорода» в формировании имиджа города Витебска среди лиц, совершающих стоповер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6.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Целевая группа</w:t>
            </w:r>
          </w:p>
        </w:tc>
        <w:tc>
          <w:tcPr>
            <w:tcW w:w="6485" w:type="dxa"/>
          </w:tcPr>
          <w:p w:rsidR="00BD3777" w:rsidRPr="00BD3777" w:rsidRDefault="00AE2F54">
            <w:pPr>
              <w:rPr>
                <w:sz w:val="26"/>
                <w:szCs w:val="26"/>
              </w:rPr>
            </w:pPr>
            <w:r w:rsidRPr="00AE2F54">
              <w:rPr>
                <w:color w:val="222222"/>
                <w:sz w:val="26"/>
                <w:szCs w:val="26"/>
              </w:rPr>
              <w:t>Широкая целевая группа (в большинстве молодёжь)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7.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Краткое описание мероприятий в рамках проекта</w:t>
            </w:r>
          </w:p>
        </w:tc>
        <w:tc>
          <w:tcPr>
            <w:tcW w:w="6485" w:type="dxa"/>
          </w:tcPr>
          <w:p w:rsidR="00BD3777" w:rsidRPr="00AE2F54" w:rsidRDefault="00AE2F54">
            <w:pPr>
              <w:rPr>
                <w:color w:val="222222"/>
                <w:sz w:val="26"/>
                <w:szCs w:val="26"/>
              </w:rPr>
            </w:pPr>
            <w:r w:rsidRPr="00AE2F54">
              <w:rPr>
                <w:color w:val="222222"/>
                <w:sz w:val="26"/>
                <w:szCs w:val="26"/>
              </w:rPr>
              <w:t xml:space="preserve">Проект «#ВкусГорода» – это комплекс элементов, которые созданы и реализуются в совокупности как </w:t>
            </w:r>
            <w:proofErr w:type="gramStart"/>
            <w:r w:rsidRPr="00AE2F54">
              <w:rPr>
                <w:color w:val="222222"/>
                <w:sz w:val="26"/>
                <w:szCs w:val="26"/>
              </w:rPr>
              <w:t>во</w:t>
            </w:r>
            <w:proofErr w:type="gramEnd"/>
            <w:r w:rsidRPr="00AE2F54">
              <w:rPr>
                <w:color w:val="222222"/>
                <w:sz w:val="26"/>
                <w:szCs w:val="26"/>
              </w:rPr>
              <w:t xml:space="preserve"> вне интернет-пространстве, так и в интернет-пространстве.</w:t>
            </w:r>
          </w:p>
          <w:p w:rsidR="00AE2F54" w:rsidRPr="00AE2F54" w:rsidRDefault="00AE2F54" w:rsidP="00356741">
            <w:pPr>
              <w:rPr>
                <w:color w:val="222222"/>
                <w:sz w:val="26"/>
                <w:szCs w:val="26"/>
              </w:rPr>
            </w:pPr>
            <w:r w:rsidRPr="00AE2F54">
              <w:rPr>
                <w:color w:val="222222"/>
                <w:sz w:val="26"/>
                <w:szCs w:val="26"/>
              </w:rPr>
              <w:t xml:space="preserve">Первоначальный этап создания проекта предусматривал работу </w:t>
            </w:r>
            <w:proofErr w:type="gramStart"/>
            <w:r w:rsidRPr="00AE2F54">
              <w:rPr>
                <w:color w:val="222222"/>
                <w:sz w:val="26"/>
                <w:szCs w:val="26"/>
              </w:rPr>
              <w:t>с</w:t>
            </w:r>
            <w:proofErr w:type="gramEnd"/>
            <w:r w:rsidRPr="00AE2F54">
              <w:rPr>
                <w:color w:val="222222"/>
                <w:sz w:val="26"/>
                <w:szCs w:val="26"/>
              </w:rPr>
              <w:t xml:space="preserve"> вне интернет-пространством, </w:t>
            </w:r>
            <w:proofErr w:type="gramStart"/>
            <w:r w:rsidRPr="00AE2F54">
              <w:rPr>
                <w:color w:val="222222"/>
                <w:sz w:val="26"/>
                <w:szCs w:val="26"/>
              </w:rPr>
              <w:t>в</w:t>
            </w:r>
            <w:proofErr w:type="gramEnd"/>
            <w:r w:rsidRPr="00AE2F54">
              <w:rPr>
                <w:color w:val="222222"/>
                <w:sz w:val="26"/>
                <w:szCs w:val="26"/>
              </w:rPr>
              <w:t xml:space="preserve"> рамках которого был разработан авторский дизайн полиграфической продукции, позволяющий проследить авторскую концепцию. С этой целью </w:t>
            </w:r>
            <w:proofErr w:type="gramStart"/>
            <w:r w:rsidRPr="00AE2F54">
              <w:rPr>
                <w:color w:val="222222"/>
                <w:sz w:val="26"/>
                <w:szCs w:val="26"/>
              </w:rPr>
              <w:t>во</w:t>
            </w:r>
            <w:proofErr w:type="gramEnd"/>
            <w:r w:rsidRPr="00AE2F54">
              <w:rPr>
                <w:color w:val="222222"/>
                <w:sz w:val="26"/>
                <w:szCs w:val="26"/>
              </w:rPr>
              <w:t xml:space="preserve"> вне интернет-пространстве были разработаны и разрабатываются:</w:t>
            </w:r>
          </w:p>
          <w:p w:rsidR="00AE2F54" w:rsidRPr="00AE2F54" w:rsidRDefault="00356741" w:rsidP="0035674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AE2F54">
              <w:rPr>
                <w:color w:val="222222"/>
                <w:sz w:val="26"/>
                <w:szCs w:val="26"/>
              </w:rPr>
              <w:t>логотип (элемент, благодаря которому проект получает моментальную узнаваемость);</w:t>
            </w:r>
          </w:p>
          <w:p w:rsidR="00AE2F54" w:rsidRPr="00AE2F54" w:rsidRDefault="00356741" w:rsidP="0035674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AE2F54">
              <w:rPr>
                <w:color w:val="222222"/>
                <w:sz w:val="26"/>
                <w:szCs w:val="26"/>
              </w:rPr>
              <w:t>полиграфия (все печатные материалы, необходимые для реализации данного проекта, дизайнерски разработаны);</w:t>
            </w:r>
          </w:p>
          <w:p w:rsidR="00AE2F54" w:rsidRPr="00AE2F54" w:rsidRDefault="00356741" w:rsidP="0035674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AE2F54">
              <w:rPr>
                <w:color w:val="222222"/>
                <w:sz w:val="26"/>
                <w:szCs w:val="26"/>
              </w:rPr>
              <w:t>маршруты одного дня по различным тематическим направлениям (молодёжный, гастрономический и так далее), образ</w:t>
            </w:r>
            <w:r w:rsidR="00AE2F54">
              <w:rPr>
                <w:color w:val="222222"/>
                <w:sz w:val="26"/>
                <w:szCs w:val="26"/>
              </w:rPr>
              <w:t>овывающие буклеты</w:t>
            </w:r>
            <w:r w:rsidR="00AE2F54" w:rsidRPr="00AE2F54">
              <w:rPr>
                <w:color w:val="222222"/>
                <w:sz w:val="26"/>
                <w:szCs w:val="26"/>
              </w:rPr>
              <w:t>;</w:t>
            </w:r>
          </w:p>
          <w:p w:rsidR="00AE2F54" w:rsidRPr="00AE2F54" w:rsidRDefault="00356741" w:rsidP="0035674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AE2F54">
              <w:rPr>
                <w:color w:val="222222"/>
                <w:sz w:val="26"/>
                <w:szCs w:val="26"/>
              </w:rPr>
              <w:t xml:space="preserve">информационные карточки (лицевая сторона содержит объект города Витебска, а оборотная сторона QR-код на интернет-источник, где можно узнать </w:t>
            </w:r>
            <w:r w:rsidR="00AE2F54" w:rsidRPr="00AE2F54">
              <w:rPr>
                <w:color w:val="222222"/>
                <w:sz w:val="26"/>
                <w:szCs w:val="26"/>
              </w:rPr>
              <w:lastRenderedPageBreak/>
              <w:t>информацию о конкрет</w:t>
            </w:r>
            <w:r w:rsidR="00AE2F54">
              <w:rPr>
                <w:color w:val="222222"/>
                <w:sz w:val="26"/>
                <w:szCs w:val="26"/>
              </w:rPr>
              <w:t>ном объекте)</w:t>
            </w:r>
            <w:r w:rsidR="00AE2F54" w:rsidRPr="00AE2F54">
              <w:rPr>
                <w:color w:val="222222"/>
                <w:sz w:val="26"/>
                <w:szCs w:val="26"/>
              </w:rPr>
              <w:t>;</w:t>
            </w:r>
          </w:p>
          <w:p w:rsidR="00AE2F54" w:rsidRPr="00AE2F54" w:rsidRDefault="00356741" w:rsidP="0035674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AE2F54">
              <w:rPr>
                <w:color w:val="222222"/>
                <w:sz w:val="26"/>
                <w:szCs w:val="26"/>
              </w:rPr>
              <w:t>дизайн брендированной продукции (были разработаны принты к различным видам одежды, где использовались как известные, так и неизвестные неофи</w:t>
            </w:r>
            <w:r w:rsidR="00AE2F54">
              <w:rPr>
                <w:color w:val="222222"/>
                <w:sz w:val="26"/>
                <w:szCs w:val="26"/>
              </w:rPr>
              <w:t>циальные названия мест города)</w:t>
            </w:r>
            <w:r w:rsidR="00AE2F54" w:rsidRPr="00AE2F54">
              <w:rPr>
                <w:color w:val="222222"/>
                <w:sz w:val="26"/>
                <w:szCs w:val="26"/>
              </w:rPr>
              <w:t>.</w:t>
            </w:r>
          </w:p>
          <w:p w:rsidR="00AE2F54" w:rsidRPr="00AE2F54" w:rsidRDefault="00AE2F54" w:rsidP="0035674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AE2F5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С целью продвижения проекта был </w:t>
            </w:r>
            <w:r w:rsidR="00CD6E8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разработан</w:t>
            </w:r>
            <w:r w:rsidRPr="00AE2F5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ряд дополнительных брендированных элементов, которые стали составными частями проекта «#ВкусГорода»:</w:t>
            </w:r>
          </w:p>
          <w:p w:rsidR="00AE2F54" w:rsidRPr="00356741" w:rsidRDefault="00356741" w:rsidP="00356741">
            <w:pPr>
              <w:tabs>
                <w:tab w:val="left" w:pos="993"/>
              </w:tabs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356741">
              <w:rPr>
                <w:color w:val="222222"/>
                <w:sz w:val="26"/>
                <w:szCs w:val="26"/>
              </w:rPr>
              <w:t>дизайн брендированных значков;</w:t>
            </w:r>
          </w:p>
          <w:p w:rsidR="00AE2F54" w:rsidRPr="00356741" w:rsidRDefault="00356741" w:rsidP="00356741">
            <w:pPr>
              <w:tabs>
                <w:tab w:val="left" w:pos="993"/>
              </w:tabs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356741">
              <w:rPr>
                <w:color w:val="222222"/>
                <w:sz w:val="26"/>
                <w:szCs w:val="26"/>
              </w:rPr>
              <w:t>дизайн брендированных ручек;</w:t>
            </w:r>
          </w:p>
          <w:p w:rsidR="00AE2F54" w:rsidRPr="00356741" w:rsidRDefault="00356741" w:rsidP="00356741">
            <w:pPr>
              <w:tabs>
                <w:tab w:val="left" w:pos="993"/>
              </w:tabs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356741">
              <w:rPr>
                <w:color w:val="222222"/>
                <w:sz w:val="26"/>
                <w:szCs w:val="26"/>
              </w:rPr>
              <w:t>дизайн брендированных блокнотов;</w:t>
            </w:r>
          </w:p>
          <w:p w:rsidR="00AE2F54" w:rsidRPr="00356741" w:rsidRDefault="00356741" w:rsidP="00356741">
            <w:pPr>
              <w:tabs>
                <w:tab w:val="left" w:pos="993"/>
              </w:tabs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- </w:t>
            </w:r>
            <w:r w:rsidR="00AE2F54" w:rsidRPr="00356741">
              <w:rPr>
                <w:color w:val="222222"/>
                <w:sz w:val="26"/>
                <w:szCs w:val="26"/>
              </w:rPr>
              <w:t>дизайн брендированных шоколадок.</w:t>
            </w:r>
          </w:p>
          <w:p w:rsidR="00AE2F54" w:rsidRPr="00CD6E85" w:rsidRDefault="00CD6E85" w:rsidP="00356741">
            <w:pPr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Л</w:t>
            </w:r>
            <w:r w:rsidR="00AE2F54" w:rsidRPr="00AE2F54">
              <w:rPr>
                <w:color w:val="222222"/>
                <w:sz w:val="26"/>
                <w:szCs w:val="26"/>
              </w:rPr>
              <w:t xml:space="preserve">учшим источником информации для получения сведений о городе, который планируется посетить в рамках стоповера, являются социальные сети, то для распространения проекта «#ВкусГорода» был </w:t>
            </w:r>
            <w:r>
              <w:rPr>
                <w:color w:val="222222"/>
                <w:sz w:val="26"/>
                <w:szCs w:val="26"/>
              </w:rPr>
              <w:t>создан</w:t>
            </w:r>
            <w:r w:rsidR="00AE2F54" w:rsidRPr="00AE2F54">
              <w:rPr>
                <w:color w:val="222222"/>
                <w:sz w:val="26"/>
                <w:szCs w:val="26"/>
              </w:rPr>
              <w:t xml:space="preserve"> и хештега (#ВкусГорода</w:t>
            </w:r>
            <w:r>
              <w:rPr>
                <w:color w:val="222222"/>
                <w:sz w:val="26"/>
                <w:szCs w:val="26"/>
              </w:rPr>
              <w:t xml:space="preserve">) для использования в качестве </w:t>
            </w:r>
            <w:r w:rsidR="00AE2F54" w:rsidRPr="00AE2F54">
              <w:rPr>
                <w:color w:val="222222"/>
                <w:sz w:val="26"/>
                <w:szCs w:val="26"/>
              </w:rPr>
              <w:t>отметки для публикаций (благодаря этому мо</w:t>
            </w:r>
            <w:r>
              <w:rPr>
                <w:color w:val="222222"/>
                <w:sz w:val="26"/>
                <w:szCs w:val="26"/>
              </w:rPr>
              <w:t>жно отслеживать вовлечённость</w:t>
            </w:r>
            <w:r w:rsidR="00AE2F54" w:rsidRPr="00AE2F54">
              <w:rPr>
                <w:color w:val="222222"/>
                <w:sz w:val="26"/>
                <w:szCs w:val="26"/>
              </w:rPr>
              <w:t>)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Общий объём финансирования (в долларах США)</w:t>
            </w:r>
          </w:p>
        </w:tc>
        <w:tc>
          <w:tcPr>
            <w:tcW w:w="6485" w:type="dxa"/>
          </w:tcPr>
          <w:p w:rsidR="00BD3777" w:rsidRDefault="00AE2F54">
            <w:pPr>
              <w:rPr>
                <w:color w:val="222222"/>
                <w:sz w:val="26"/>
                <w:szCs w:val="26"/>
              </w:rPr>
            </w:pPr>
            <w:r w:rsidRPr="00AE2F54">
              <w:rPr>
                <w:color w:val="222222"/>
                <w:sz w:val="26"/>
                <w:szCs w:val="26"/>
              </w:rPr>
              <w:t>$10</w:t>
            </w:r>
            <w:r w:rsidR="00FE059D">
              <w:rPr>
                <w:color w:val="222222"/>
                <w:sz w:val="26"/>
                <w:szCs w:val="26"/>
              </w:rPr>
              <w:t> </w:t>
            </w:r>
            <w:r w:rsidRPr="00AE2F54">
              <w:rPr>
                <w:color w:val="222222"/>
                <w:sz w:val="26"/>
                <w:szCs w:val="26"/>
              </w:rPr>
              <w:t>000</w:t>
            </w:r>
          </w:p>
          <w:p w:rsidR="00FE059D" w:rsidRDefault="00FE059D">
            <w:pPr>
              <w:rPr>
                <w:color w:val="222222"/>
                <w:sz w:val="26"/>
                <w:szCs w:val="26"/>
                <w:lang w:val="en-US"/>
              </w:rPr>
            </w:pPr>
            <w:r>
              <w:rPr>
                <w:color w:val="222222"/>
                <w:sz w:val="26"/>
                <w:szCs w:val="26"/>
              </w:rPr>
              <w:t xml:space="preserve">Средства донора – </w:t>
            </w:r>
            <w:bookmarkStart w:id="0" w:name="_GoBack"/>
            <w:r>
              <w:rPr>
                <w:color w:val="222222"/>
                <w:sz w:val="26"/>
                <w:szCs w:val="26"/>
                <w:lang w:val="en-US"/>
              </w:rPr>
              <w:t>$</w:t>
            </w:r>
            <w:r>
              <w:rPr>
                <w:color w:val="222222"/>
                <w:sz w:val="26"/>
                <w:szCs w:val="26"/>
              </w:rPr>
              <w:t>7 500</w:t>
            </w:r>
            <w:bookmarkEnd w:id="0"/>
          </w:p>
          <w:p w:rsidR="00FE059D" w:rsidRPr="00FE059D" w:rsidRDefault="00FE059D">
            <w:pPr>
              <w:rPr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Софинансирование – </w:t>
            </w:r>
            <w:r>
              <w:rPr>
                <w:color w:val="222222"/>
                <w:sz w:val="26"/>
                <w:szCs w:val="26"/>
                <w:lang w:val="en-US"/>
              </w:rPr>
              <w:t>$</w:t>
            </w:r>
            <w:r>
              <w:rPr>
                <w:color w:val="222222"/>
                <w:sz w:val="26"/>
                <w:szCs w:val="26"/>
              </w:rPr>
              <w:t>2 500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9.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648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Октябрьский район г</w:t>
            </w:r>
            <w:proofErr w:type="gramStart"/>
            <w:r w:rsidRPr="00BD3777">
              <w:rPr>
                <w:color w:val="222222"/>
                <w:sz w:val="26"/>
                <w:szCs w:val="26"/>
              </w:rPr>
              <w:t>.В</w:t>
            </w:r>
            <w:proofErr w:type="gramEnd"/>
            <w:r w:rsidRPr="00BD3777">
              <w:rPr>
                <w:color w:val="222222"/>
                <w:sz w:val="26"/>
                <w:szCs w:val="26"/>
              </w:rPr>
              <w:t>итебска</w:t>
            </w:r>
            <w:r>
              <w:rPr>
                <w:color w:val="222222"/>
                <w:sz w:val="26"/>
                <w:szCs w:val="26"/>
              </w:rPr>
              <w:t xml:space="preserve">, </w:t>
            </w:r>
            <w:r w:rsidR="00356741">
              <w:rPr>
                <w:color w:val="222222"/>
                <w:sz w:val="26"/>
                <w:szCs w:val="26"/>
              </w:rPr>
              <w:t>г</w:t>
            </w:r>
            <w:r w:rsidRPr="00BD3777">
              <w:rPr>
                <w:color w:val="222222"/>
                <w:sz w:val="26"/>
                <w:szCs w:val="26"/>
              </w:rPr>
              <w:t>осударственное учреждение об</w:t>
            </w:r>
            <w:r>
              <w:rPr>
                <w:color w:val="222222"/>
                <w:sz w:val="26"/>
                <w:szCs w:val="26"/>
              </w:rPr>
              <w:t>разования «Средняя школа №11 г.</w:t>
            </w:r>
            <w:r w:rsidRPr="00BD3777">
              <w:rPr>
                <w:color w:val="222222"/>
                <w:sz w:val="26"/>
                <w:szCs w:val="26"/>
              </w:rPr>
              <w:t xml:space="preserve">Витебска </w:t>
            </w:r>
            <w:r>
              <w:rPr>
                <w:color w:val="222222"/>
                <w:sz w:val="26"/>
                <w:szCs w:val="26"/>
              </w:rPr>
              <w:t xml:space="preserve">имени </w:t>
            </w:r>
            <w:r w:rsidRPr="00BD3777">
              <w:rPr>
                <w:color w:val="222222"/>
                <w:sz w:val="26"/>
                <w:szCs w:val="26"/>
              </w:rPr>
              <w:t>М.М.Бахтина»</w:t>
            </w:r>
          </w:p>
        </w:tc>
      </w:tr>
      <w:tr w:rsidR="00BD3777" w:rsidRPr="00BD3777" w:rsidTr="00BD3777">
        <w:tc>
          <w:tcPr>
            <w:tcW w:w="814" w:type="dxa"/>
          </w:tcPr>
          <w:p w:rsidR="00BD3777" w:rsidRPr="00BD3777" w:rsidRDefault="00BD3777">
            <w:pPr>
              <w:rPr>
                <w:sz w:val="26"/>
                <w:szCs w:val="26"/>
              </w:rPr>
            </w:pPr>
            <w:r w:rsidRPr="00BD3777">
              <w:rPr>
                <w:sz w:val="26"/>
                <w:szCs w:val="26"/>
              </w:rPr>
              <w:t>10.</w:t>
            </w:r>
          </w:p>
        </w:tc>
        <w:tc>
          <w:tcPr>
            <w:tcW w:w="2555" w:type="dxa"/>
          </w:tcPr>
          <w:p w:rsidR="00BD3777" w:rsidRPr="00BD3777" w:rsidRDefault="00BD3777" w:rsidP="00BD3777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Контактное лицо</w:t>
            </w:r>
          </w:p>
        </w:tc>
        <w:tc>
          <w:tcPr>
            <w:tcW w:w="6485" w:type="dxa"/>
          </w:tcPr>
          <w:p w:rsidR="00356741" w:rsidRDefault="00BD3777" w:rsidP="001B599C">
            <w:pPr>
              <w:jc w:val="left"/>
              <w:rPr>
                <w:color w:val="222222"/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Оберемок Нелли Леонидовна, директор,</w:t>
            </w:r>
            <w:r w:rsidR="001B599C">
              <w:rPr>
                <w:color w:val="222222"/>
                <w:sz w:val="26"/>
                <w:szCs w:val="26"/>
              </w:rPr>
              <w:t xml:space="preserve"> </w:t>
            </w:r>
          </w:p>
          <w:p w:rsidR="001B599C" w:rsidRDefault="00BD3777" w:rsidP="001B599C">
            <w:pPr>
              <w:jc w:val="left"/>
              <w:rPr>
                <w:color w:val="222222"/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контактный телефон: +375 212 64 54 86</w:t>
            </w:r>
          </w:p>
          <w:p w:rsidR="00BD3777" w:rsidRPr="00BD3777" w:rsidRDefault="00BD3777" w:rsidP="001B599C">
            <w:pPr>
              <w:jc w:val="left"/>
              <w:rPr>
                <w:sz w:val="26"/>
                <w:szCs w:val="26"/>
              </w:rPr>
            </w:pPr>
            <w:r w:rsidRPr="00BD3777">
              <w:rPr>
                <w:color w:val="222222"/>
                <w:sz w:val="26"/>
                <w:szCs w:val="26"/>
              </w:rPr>
              <w:t>e-mail: school11@oktvitebsk.by, vitssh11@gmail.com</w:t>
            </w:r>
          </w:p>
        </w:tc>
      </w:tr>
    </w:tbl>
    <w:p w:rsidR="00544C31" w:rsidRDefault="00544C31"/>
    <w:tbl>
      <w:tblPr>
        <w:tblStyle w:val="a3"/>
        <w:tblW w:w="0" w:type="auto"/>
        <w:tblLook w:val="04A0"/>
      </w:tblPr>
      <w:tblGrid>
        <w:gridCol w:w="541"/>
        <w:gridCol w:w="2311"/>
        <w:gridCol w:w="7002"/>
      </w:tblGrid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Name of the project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Formation of the image of the city among stopovers through the creation of the project "#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TasteOftheCity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>"( on the example of the city if Vitebsk)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Project implementation period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September 2023 - May 2025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The applicant organization offering the project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 xml:space="preserve">Secondary school No 11 of Vitebsk named after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M.M.Bakhtin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",Republic of Belarus, Vitebsk region,</w:t>
            </w:r>
          </w:p>
          <w:p w:rsidR="001102A9" w:rsidRPr="001102A9" w:rsidRDefault="001102A9" w:rsidP="0052445B">
            <w:pPr>
              <w:rPr>
                <w:sz w:val="26"/>
                <w:szCs w:val="26"/>
              </w:rPr>
            </w:pPr>
            <w:r w:rsidRPr="001102A9">
              <w:rPr>
                <w:sz w:val="26"/>
                <w:szCs w:val="26"/>
                <w:lang w:val="en-US"/>
              </w:rPr>
              <w:t>Vitebsk,</w:t>
            </w:r>
            <w:r w:rsidRPr="001102A9">
              <w:rPr>
                <w:sz w:val="26"/>
                <w:szCs w:val="26"/>
              </w:rPr>
              <w:t xml:space="preserve">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Moskovsky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Avenue, 28a,</w:t>
            </w:r>
            <w:r w:rsidRPr="001102A9">
              <w:rPr>
                <w:sz w:val="26"/>
                <w:szCs w:val="26"/>
              </w:rPr>
              <w:t xml:space="preserve"> 210015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</w:rPr>
            </w:pPr>
            <w:r w:rsidRPr="001102A9">
              <w:rPr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Purpose of the project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Develop and implement the process and content formation of the image of the city among stopovers through the creation of the project "#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TasteOf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theCity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>"( on the example of the city if Vitebsk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5.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 xml:space="preserve"> Project objectives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1) To reveal the essence of the concept of stopover, as well as to identify the possibilities and features of creating the project among those who commit it "#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TasteOf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theCity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>"( on the example of the city if Vitebsk) as an element of the formation  of the image of the city Vitebsk in today`s world and conditions;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2) To study, analyze and engage the possibilities of using the Internet as the means of creating the project"#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TasteOf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theCity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"( </w:t>
            </w:r>
            <w:r w:rsidRPr="001102A9">
              <w:rPr>
                <w:sz w:val="26"/>
                <w:szCs w:val="26"/>
                <w:lang w:val="en-US"/>
              </w:rPr>
              <w:lastRenderedPageBreak/>
              <w:t>on the example of the city if Vitebsk)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lastRenderedPageBreak/>
              <w:t>6.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Target group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A broad target group (mostly young people)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7.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 xml:space="preserve">Project activities 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Online Project "#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TasteOf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theCity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>" (on the example of the city if Vitebsk) is a complex of elements that is created and implemented together both outside the Internet space and in the Internet space.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 xml:space="preserve">The initial stage of the project creation provided offline and online work, within which the author's design of printed products was developed, allowing </w:t>
            </w:r>
            <w:proofErr w:type="gramStart"/>
            <w:r w:rsidRPr="001102A9">
              <w:rPr>
                <w:sz w:val="26"/>
                <w:szCs w:val="26"/>
                <w:lang w:val="en-US"/>
              </w:rPr>
              <w:t>to trace</w:t>
            </w:r>
            <w:proofErr w:type="gramEnd"/>
            <w:r w:rsidRPr="001102A9">
              <w:rPr>
                <w:sz w:val="26"/>
                <w:szCs w:val="26"/>
                <w:lang w:val="en-US"/>
              </w:rPr>
              <w:t xml:space="preserve"> the author's concept. For this purpose, outside the Internet space, the following things have been developed and are being developed: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a logo (an element through which the project receives instant recognition);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printing (all printed materials necessary for the implementation of this project are designed);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one-day itineraries in various thematic areas (youth, gastronomic, and so on) in the form of booklets;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information cards (the cover contains the object of the city of Vitebsk, and the reverse side contains a QR code for an Internet source where you can find information about a specific object);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proofErr w:type="gramStart"/>
            <w:r w:rsidRPr="001102A9">
              <w:rPr>
                <w:sz w:val="26"/>
                <w:szCs w:val="26"/>
                <w:lang w:val="en-US"/>
              </w:rPr>
              <w:t>the</w:t>
            </w:r>
            <w:proofErr w:type="gramEnd"/>
            <w:r w:rsidRPr="001102A9">
              <w:rPr>
                <w:sz w:val="26"/>
                <w:szCs w:val="26"/>
                <w:lang w:val="en-US"/>
              </w:rPr>
              <w:t xml:space="preserve"> design of branded products (prints for various types of clothing were developed, where both well-known and unknown unofficial names of places in the city were used).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In order to promote the project, a number of additional branded elements were developed, which became integral parts of the project: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the design of branded badges;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the design of branded pens;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the design of branded notebooks;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proofErr w:type="gramStart"/>
            <w:r w:rsidRPr="001102A9">
              <w:rPr>
                <w:sz w:val="26"/>
                <w:szCs w:val="26"/>
                <w:lang w:val="en-US"/>
              </w:rPr>
              <w:t>the</w:t>
            </w:r>
            <w:proofErr w:type="gramEnd"/>
            <w:r w:rsidRPr="001102A9">
              <w:rPr>
                <w:sz w:val="26"/>
                <w:szCs w:val="26"/>
                <w:lang w:val="en-US"/>
              </w:rPr>
              <w:t xml:space="preserve"> design of branded chocolate.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 xml:space="preserve">The best source of information for getting information about the city that you plan to visit as part of the stopover is social networks, then a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hashtag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"#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TasteOf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theCity"was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created to distribute the project  to use as a mark "#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TasteOf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theCity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>" for publications (thanks to this, you can track engagement)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8.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Total funding (in US dollars)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color w:val="222222"/>
                <w:sz w:val="26"/>
                <w:szCs w:val="26"/>
                <w:lang w:val="en-US"/>
              </w:rPr>
            </w:pPr>
            <w:r w:rsidRPr="001102A9">
              <w:rPr>
                <w:color w:val="222222"/>
                <w:sz w:val="26"/>
                <w:szCs w:val="26"/>
                <w:lang w:val="en-US"/>
              </w:rPr>
              <w:t xml:space="preserve">$10 000; Means of donation - $7 500; </w:t>
            </w:r>
            <w:r w:rsidRPr="001102A9">
              <w:rPr>
                <w:sz w:val="26"/>
                <w:szCs w:val="26"/>
                <w:lang w:val="en-US"/>
              </w:rPr>
              <w:t>Co-financing - $2 500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9.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Location of the project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proofErr w:type="spellStart"/>
            <w:r w:rsidRPr="001102A9">
              <w:rPr>
                <w:sz w:val="26"/>
                <w:szCs w:val="26"/>
                <w:lang w:val="en-US"/>
              </w:rPr>
              <w:t>Oktyabrsky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district of Vitebsk, State educational institution "Secondary school No. 11 of Vitebsk named after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M.M.Bakhtin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>"</w:t>
            </w:r>
          </w:p>
        </w:tc>
      </w:tr>
      <w:tr w:rsidR="001102A9" w:rsidRPr="001102A9" w:rsidTr="0052445B"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10.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</w:rPr>
            </w:pPr>
            <w:r w:rsidRPr="001102A9">
              <w:rPr>
                <w:color w:val="222222"/>
                <w:sz w:val="26"/>
                <w:szCs w:val="26"/>
              </w:rPr>
              <w:t>Contact person</w:t>
            </w:r>
          </w:p>
        </w:tc>
        <w:tc>
          <w:tcPr>
            <w:tcW w:w="0" w:type="auto"/>
          </w:tcPr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proofErr w:type="spellStart"/>
            <w:r w:rsidRPr="001102A9">
              <w:rPr>
                <w:sz w:val="26"/>
                <w:szCs w:val="26"/>
                <w:lang w:val="en-US"/>
              </w:rPr>
              <w:t>Oberemok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 Nelly </w:t>
            </w:r>
            <w:proofErr w:type="spellStart"/>
            <w:r w:rsidRPr="001102A9">
              <w:rPr>
                <w:sz w:val="26"/>
                <w:szCs w:val="26"/>
                <w:lang w:val="en-US"/>
              </w:rPr>
              <w:t>Leonidovna</w:t>
            </w:r>
            <w:proofErr w:type="spellEnd"/>
            <w:r w:rsidRPr="001102A9">
              <w:rPr>
                <w:sz w:val="26"/>
                <w:szCs w:val="26"/>
                <w:lang w:val="en-US"/>
              </w:rPr>
              <w:t xml:space="preserve">, Director, 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contact phone number: +375 212 64 54 86</w:t>
            </w:r>
          </w:p>
          <w:p w:rsidR="001102A9" w:rsidRPr="001102A9" w:rsidRDefault="001102A9" w:rsidP="0052445B">
            <w:pPr>
              <w:rPr>
                <w:sz w:val="26"/>
                <w:szCs w:val="26"/>
                <w:lang w:val="en-US"/>
              </w:rPr>
            </w:pPr>
            <w:r w:rsidRPr="001102A9">
              <w:rPr>
                <w:sz w:val="26"/>
                <w:szCs w:val="26"/>
                <w:lang w:val="en-US"/>
              </w:rPr>
              <w:t>e-mail: school11@oktvitebsk.by, vitssh11@gmail.com</w:t>
            </w:r>
          </w:p>
        </w:tc>
      </w:tr>
    </w:tbl>
    <w:p w:rsidR="001102A9" w:rsidRPr="001102A9" w:rsidRDefault="001102A9">
      <w:pPr>
        <w:rPr>
          <w:lang w:val="en-US"/>
        </w:rPr>
      </w:pPr>
    </w:p>
    <w:sectPr w:rsidR="001102A9" w:rsidRPr="001102A9" w:rsidSect="00587630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A1A53"/>
    <w:multiLevelType w:val="hybridMultilevel"/>
    <w:tmpl w:val="1DA4641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BD3777"/>
    <w:rsid w:val="001102A9"/>
    <w:rsid w:val="00116F52"/>
    <w:rsid w:val="001B599C"/>
    <w:rsid w:val="002E1A3D"/>
    <w:rsid w:val="00356741"/>
    <w:rsid w:val="00544C31"/>
    <w:rsid w:val="00587630"/>
    <w:rsid w:val="00753C23"/>
    <w:rsid w:val="00836409"/>
    <w:rsid w:val="00AE2F54"/>
    <w:rsid w:val="00B14CBE"/>
    <w:rsid w:val="00BD3777"/>
    <w:rsid w:val="00CD6E85"/>
    <w:rsid w:val="00D024C7"/>
    <w:rsid w:val="00FE059D"/>
    <w:rsid w:val="00FE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лан"/>
    <w:rsid w:val="0011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D3777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3777"/>
    <w:rPr>
      <w:b/>
      <w:bCs/>
    </w:rPr>
  </w:style>
  <w:style w:type="paragraph" w:styleId="a6">
    <w:name w:val="List Paragraph"/>
    <w:basedOn w:val="a"/>
    <w:uiPriority w:val="34"/>
    <w:qFormat/>
    <w:rsid w:val="00AE2F5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лан"/>
    <w:rsid w:val="0011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D3777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37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2024-12-18T15:42:00Z</dcterms:created>
  <dcterms:modified xsi:type="dcterms:W3CDTF">2024-12-18T15:42:00Z</dcterms:modified>
</cp:coreProperties>
</file>